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0993" w14:textId="587E1167" w:rsidR="00E40613" w:rsidRPr="00716B2E" w:rsidRDefault="00E40613" w:rsidP="00E40613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20"/>
        </w:rPr>
      </w:pPr>
      <w:r w:rsidRPr="00716B2E">
        <w:rPr>
          <w:rFonts w:asciiTheme="majorHAnsi" w:hAnsiTheme="majorHAnsi" w:cstheme="majorHAnsi"/>
          <w:spacing w:val="20"/>
        </w:rPr>
        <w:t>Placer les appels de citation au bon endroit dans les extraits ci-dessous</w:t>
      </w:r>
    </w:p>
    <w:p w14:paraId="4E388781" w14:textId="77777777" w:rsidR="007836F8" w:rsidRDefault="00E40613" w:rsidP="007836F8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20"/>
        </w:rPr>
      </w:pPr>
      <w:r w:rsidRPr="00716B2E">
        <w:rPr>
          <w:rFonts w:asciiTheme="majorHAnsi" w:hAnsiTheme="majorHAnsi" w:cstheme="majorHAnsi"/>
          <w:spacing w:val="20"/>
        </w:rPr>
        <w:t>Générer la bibliographie en lien avec ces citations</w:t>
      </w:r>
    </w:p>
    <w:p w14:paraId="15B6A58C" w14:textId="2064986E" w:rsidR="007836F8" w:rsidRPr="007836F8" w:rsidRDefault="007836F8" w:rsidP="007836F8">
      <w:pPr>
        <w:pStyle w:val="Paragraphedeliste"/>
        <w:spacing w:line="360" w:lineRule="auto"/>
        <w:rPr>
          <w:rFonts w:asciiTheme="majorHAnsi" w:hAnsiTheme="majorHAnsi" w:cstheme="majorHAnsi"/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DAE8B" wp14:editId="4123EE73">
            <wp:simplePos x="0" y="0"/>
            <wp:positionH relativeFrom="margin">
              <wp:align>left</wp:align>
            </wp:positionH>
            <wp:positionV relativeFrom="paragraph">
              <wp:posOffset>302251</wp:posOffset>
            </wp:positionV>
            <wp:extent cx="1132764" cy="63694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64" cy="63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2F04B" w14:textId="7A4E92F3" w:rsidR="00E40613" w:rsidRDefault="00E40613" w:rsidP="00E40613"/>
    <w:p w14:paraId="164C9FFE" w14:textId="7266FF9E" w:rsidR="007836F8" w:rsidRDefault="007836F8" w:rsidP="00E40613">
      <w:pPr>
        <w:spacing w:line="360" w:lineRule="auto"/>
        <w:rPr>
          <w:spacing w:val="20"/>
        </w:rPr>
      </w:pPr>
    </w:p>
    <w:p w14:paraId="0B3928D1" w14:textId="1A7F9416" w:rsidR="00E40613" w:rsidRDefault="00E40613" w:rsidP="00E40613">
      <w:pPr>
        <w:spacing w:line="360" w:lineRule="auto"/>
        <w:rPr>
          <w:spacing w:val="20"/>
        </w:rPr>
      </w:pPr>
      <w:r w:rsidRPr="002358F2">
        <w:rPr>
          <w:spacing w:val="20"/>
        </w:rPr>
        <w:t xml:space="preserve">Une étude systématique sur 405 articles portant sur les méthodes d'IA et sur les données </w:t>
      </w:r>
      <w:proofErr w:type="spellStart"/>
      <w:r w:rsidRPr="002358F2">
        <w:rPr>
          <w:spacing w:val="20"/>
        </w:rPr>
        <w:t>omiques</w:t>
      </w:r>
      <w:proofErr w:type="spellEnd"/>
      <w:r w:rsidRPr="002358F2">
        <w:rPr>
          <w:spacing w:val="20"/>
        </w:rPr>
        <w:t>, a permis d’établir huit axes de recherche pour de futures investigations.</w:t>
      </w:r>
    </w:p>
    <w:p w14:paraId="2B60CF75" w14:textId="77777777" w:rsidR="007836F8" w:rsidRDefault="007836F8" w:rsidP="00E40613">
      <w:pPr>
        <w:spacing w:line="360" w:lineRule="auto"/>
        <w:rPr>
          <w:spacing w:val="20"/>
        </w:rPr>
      </w:pPr>
    </w:p>
    <w:p w14:paraId="11479594" w14:textId="2A4E8567" w:rsidR="007836F8" w:rsidRPr="002358F2" w:rsidRDefault="007836F8" w:rsidP="00E40613">
      <w:pPr>
        <w:spacing w:line="360" w:lineRule="auto"/>
        <w:rPr>
          <w:spacing w:val="20"/>
        </w:rPr>
      </w:pPr>
      <w:r w:rsidRPr="007836F8">
        <w:rPr>
          <w:spacing w:val="20"/>
        </w:rPr>
        <w:drawing>
          <wp:anchor distT="0" distB="0" distL="114300" distR="114300" simplePos="0" relativeHeight="251659264" behindDoc="0" locked="0" layoutInCell="1" allowOverlap="1" wp14:anchorId="1C66DA46" wp14:editId="39AF5BEC">
            <wp:simplePos x="0" y="0"/>
            <wp:positionH relativeFrom="margin">
              <wp:align>left</wp:align>
            </wp:positionH>
            <wp:positionV relativeFrom="paragraph">
              <wp:posOffset>3431</wp:posOffset>
            </wp:positionV>
            <wp:extent cx="1132205" cy="636865"/>
            <wp:effectExtent l="0" t="0" r="0" b="0"/>
            <wp:wrapNone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4003DB89-A8E5-4621-891D-E8DA79FA96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4003DB89-A8E5-4621-891D-E8DA79FA96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63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F9CEA" w14:textId="24B27ECD" w:rsidR="00E40613" w:rsidRPr="002358F2" w:rsidRDefault="00E40613" w:rsidP="00E40613">
      <w:pPr>
        <w:spacing w:line="360" w:lineRule="auto"/>
        <w:rPr>
          <w:spacing w:val="20"/>
        </w:rPr>
      </w:pPr>
    </w:p>
    <w:p w14:paraId="5F937F51" w14:textId="3C038F93" w:rsidR="00E40613" w:rsidRDefault="00E40613" w:rsidP="00E40613">
      <w:pPr>
        <w:spacing w:line="360" w:lineRule="auto"/>
        <w:rPr>
          <w:spacing w:val="20"/>
        </w:rPr>
      </w:pPr>
      <w:r w:rsidRPr="002358F2">
        <w:rPr>
          <w:spacing w:val="20"/>
        </w:rPr>
        <w:t xml:space="preserve">D’après Roland Barret, les tests cutanés sont régulièrement utilisés pour mesurer une allergie aux antibiotiques et permettent de prévenir les chocs anaphylactiques. Les antibiotiques de type </w:t>
      </w:r>
      <w:proofErr w:type="spellStart"/>
      <w:r w:rsidRPr="002358F2">
        <w:rPr>
          <w:spacing w:val="20"/>
        </w:rPr>
        <w:t>bêta-lactamines</w:t>
      </w:r>
      <w:proofErr w:type="spellEnd"/>
      <w:r w:rsidRPr="002358F2">
        <w:rPr>
          <w:spacing w:val="20"/>
        </w:rPr>
        <w:t xml:space="preserve"> (β-lactamines) ont une sensibilité croisée qui permet de conclure qu’un test positif l’est pour l’ensemble des antibiotiques d’une même famille. </w:t>
      </w:r>
    </w:p>
    <w:p w14:paraId="6FA7CC99" w14:textId="77777777" w:rsidR="007836F8" w:rsidRPr="002358F2" w:rsidRDefault="007836F8" w:rsidP="00E40613">
      <w:pPr>
        <w:spacing w:line="360" w:lineRule="auto"/>
        <w:rPr>
          <w:spacing w:val="20"/>
        </w:rPr>
      </w:pPr>
    </w:p>
    <w:p w14:paraId="38883D1D" w14:textId="41E0C90F" w:rsidR="00E40613" w:rsidRDefault="007836F8" w:rsidP="00E40613">
      <w:pPr>
        <w:spacing w:line="360" w:lineRule="auto"/>
        <w:rPr>
          <w:spacing w:val="20"/>
        </w:rPr>
      </w:pPr>
      <w:r w:rsidRPr="007836F8">
        <w:rPr>
          <w:spacing w:val="20"/>
        </w:rPr>
        <w:drawing>
          <wp:anchor distT="0" distB="0" distL="114300" distR="114300" simplePos="0" relativeHeight="251660288" behindDoc="0" locked="0" layoutInCell="1" allowOverlap="1" wp14:anchorId="033383F9" wp14:editId="678E2E78">
            <wp:simplePos x="0" y="0"/>
            <wp:positionH relativeFrom="margin">
              <wp:align>left</wp:align>
            </wp:positionH>
            <wp:positionV relativeFrom="paragraph">
              <wp:posOffset>-4057</wp:posOffset>
            </wp:positionV>
            <wp:extent cx="1119015" cy="629446"/>
            <wp:effectExtent l="0" t="0" r="5080" b="0"/>
            <wp:wrapNone/>
            <wp:docPr id="2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5386BF88-64C6-45D1-B423-784356AFAB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5386BF88-64C6-45D1-B423-784356AFAB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015" cy="62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296AB" w14:textId="77777777" w:rsidR="007836F8" w:rsidRPr="002358F2" w:rsidRDefault="007836F8" w:rsidP="00E40613">
      <w:pPr>
        <w:spacing w:line="360" w:lineRule="auto"/>
        <w:rPr>
          <w:spacing w:val="20"/>
        </w:rPr>
      </w:pPr>
    </w:p>
    <w:p w14:paraId="5D9D5095" w14:textId="1360ED64" w:rsidR="00E40613" w:rsidRDefault="00E40613" w:rsidP="00E40613">
      <w:pPr>
        <w:spacing w:line="360" w:lineRule="auto"/>
        <w:rPr>
          <w:spacing w:val="20"/>
        </w:rPr>
      </w:pPr>
      <w:r w:rsidRPr="002358F2">
        <w:rPr>
          <w:spacing w:val="20"/>
        </w:rPr>
        <w:t xml:space="preserve">« L’étude d’association </w:t>
      </w:r>
      <w:proofErr w:type="spellStart"/>
      <w:r w:rsidRPr="002358F2">
        <w:rPr>
          <w:spacing w:val="20"/>
        </w:rPr>
        <w:t>pan-génomique</w:t>
      </w:r>
      <w:proofErr w:type="spellEnd"/>
      <w:r w:rsidRPr="002358F2">
        <w:rPr>
          <w:spacing w:val="20"/>
        </w:rPr>
        <w:t xml:space="preserve"> (GENEREPOL) a été réalisée chez des sujets sains après une dose unique de 80 mg de </w:t>
      </w:r>
      <w:proofErr w:type="spellStart"/>
      <w:r w:rsidRPr="002358F2">
        <w:rPr>
          <w:spacing w:val="20"/>
        </w:rPr>
        <w:t>Sotalol</w:t>
      </w:r>
      <w:proofErr w:type="spellEnd"/>
      <w:r w:rsidRPr="002358F2">
        <w:rPr>
          <w:spacing w:val="20"/>
        </w:rPr>
        <w:t>. Nous avons pu confirmer que cette stimulation pharmacologique était suffisante pour induire des modifications significatives de la repolarisation ventriculaire type inhibition d’</w:t>
      </w:r>
      <w:proofErr w:type="spellStart"/>
      <w:r w:rsidRPr="002358F2">
        <w:rPr>
          <w:spacing w:val="20"/>
        </w:rPr>
        <w:t>IKr</w:t>
      </w:r>
      <w:proofErr w:type="spellEnd"/>
      <w:r w:rsidRPr="002358F2">
        <w:rPr>
          <w:spacing w:val="20"/>
        </w:rPr>
        <w:t xml:space="preserve">, 3 heures après la prise. » </w:t>
      </w:r>
    </w:p>
    <w:p w14:paraId="087FC6B6" w14:textId="77777777" w:rsidR="007836F8" w:rsidRDefault="007836F8" w:rsidP="00E40613">
      <w:pPr>
        <w:spacing w:line="360" w:lineRule="auto"/>
        <w:rPr>
          <w:spacing w:val="20"/>
        </w:rPr>
      </w:pPr>
    </w:p>
    <w:p w14:paraId="7729562B" w14:textId="216090E5" w:rsidR="00E40613" w:rsidRDefault="007836F8" w:rsidP="00E40613">
      <w:pPr>
        <w:spacing w:line="360" w:lineRule="auto"/>
        <w:rPr>
          <w:spacing w:val="20"/>
        </w:rPr>
      </w:pPr>
      <w:r w:rsidRPr="007836F8">
        <w:rPr>
          <w:spacing w:val="20"/>
        </w:rPr>
        <w:drawing>
          <wp:anchor distT="0" distB="0" distL="114300" distR="114300" simplePos="0" relativeHeight="251661312" behindDoc="0" locked="0" layoutInCell="1" allowOverlap="1" wp14:anchorId="77920B33" wp14:editId="10A357D1">
            <wp:simplePos x="0" y="0"/>
            <wp:positionH relativeFrom="margin">
              <wp:align>left</wp:align>
            </wp:positionH>
            <wp:positionV relativeFrom="paragraph">
              <wp:posOffset>3308</wp:posOffset>
            </wp:positionV>
            <wp:extent cx="1118870" cy="629364"/>
            <wp:effectExtent l="0" t="0" r="5080" b="0"/>
            <wp:wrapNone/>
            <wp:docPr id="14" name="Image 13">
              <a:extLst xmlns:a="http://schemas.openxmlformats.org/drawingml/2006/main">
                <a:ext uri="{FF2B5EF4-FFF2-40B4-BE49-F238E27FC236}">
                  <a16:creationId xmlns:a16="http://schemas.microsoft.com/office/drawing/2014/main" id="{3FD0313C-4964-43FA-B476-EC05F55FFE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>
                      <a:extLst>
                        <a:ext uri="{FF2B5EF4-FFF2-40B4-BE49-F238E27FC236}">
                          <a16:creationId xmlns:a16="http://schemas.microsoft.com/office/drawing/2014/main" id="{3FD0313C-4964-43FA-B476-EC05F55FFE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62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83E93" w14:textId="77777777" w:rsidR="007836F8" w:rsidRDefault="007836F8" w:rsidP="00E40613">
      <w:pPr>
        <w:spacing w:line="360" w:lineRule="auto"/>
        <w:rPr>
          <w:spacing w:val="20"/>
        </w:rPr>
      </w:pPr>
    </w:p>
    <w:p w14:paraId="07DB9AFF" w14:textId="77777777" w:rsidR="00E40613" w:rsidRPr="002358F2" w:rsidRDefault="00E40613" w:rsidP="00E40613">
      <w:pPr>
        <w:spacing w:line="360" w:lineRule="auto"/>
        <w:rPr>
          <w:spacing w:val="20"/>
        </w:rPr>
      </w:pPr>
      <w:r>
        <w:rPr>
          <w:spacing w:val="20"/>
        </w:rPr>
        <w:t>Dans le but d’évaluer le succès virologique, à M1 et M3 il faut effectuer un</w:t>
      </w:r>
      <w:r w:rsidRPr="00EF3D83">
        <w:rPr>
          <w:spacing w:val="20"/>
        </w:rPr>
        <w:t xml:space="preserve"> contrôle systématique de la charge virale ARN VIH plasmatique</w:t>
      </w:r>
      <w:r>
        <w:rPr>
          <w:spacing w:val="20"/>
        </w:rPr>
        <w:t xml:space="preserve">. </w:t>
      </w:r>
    </w:p>
    <w:p w14:paraId="3F1942CF" w14:textId="28F6DC21" w:rsidR="00E40613" w:rsidRDefault="00E40613" w:rsidP="007836F8">
      <w:pPr>
        <w:pStyle w:val="Titre1"/>
      </w:pPr>
      <w:r>
        <w:br w:type="page"/>
      </w:r>
      <w:r>
        <w:lastRenderedPageBreak/>
        <w:t>Bibliographie</w:t>
      </w:r>
    </w:p>
    <w:p w14:paraId="27DFCF7E" w14:textId="77777777" w:rsidR="00066D18" w:rsidRDefault="00066D18"/>
    <w:sectPr w:rsidR="0006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2421A"/>
    <w:multiLevelType w:val="hybridMultilevel"/>
    <w:tmpl w:val="84D2CD02"/>
    <w:lvl w:ilvl="0" w:tplc="5FA4A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13"/>
    <w:rsid w:val="00066D18"/>
    <w:rsid w:val="007836F8"/>
    <w:rsid w:val="00E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1A1B54"/>
  <w15:chartTrackingRefBased/>
  <w15:docId w15:val="{E1F8322F-864E-4382-AA4E-C1FA920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13"/>
  </w:style>
  <w:style w:type="paragraph" w:styleId="Titre1">
    <w:name w:val="heading 1"/>
    <w:basedOn w:val="Normal"/>
    <w:next w:val="Normal"/>
    <w:link w:val="Titre1Car"/>
    <w:uiPriority w:val="9"/>
    <w:qFormat/>
    <w:rsid w:val="00E40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4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TOMASI</dc:creator>
  <cp:keywords/>
  <dc:description/>
  <cp:lastModifiedBy>LEO TOMASI</cp:lastModifiedBy>
  <cp:revision>2</cp:revision>
  <dcterms:created xsi:type="dcterms:W3CDTF">2025-08-26T14:09:00Z</dcterms:created>
  <dcterms:modified xsi:type="dcterms:W3CDTF">2025-08-26T14:18:00Z</dcterms:modified>
</cp:coreProperties>
</file>